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47" w:rsidRPr="00C8735C" w:rsidRDefault="00051A47" w:rsidP="0012503E">
      <w:pPr>
        <w:spacing w:after="60" w:line="240" w:lineRule="auto"/>
        <w:jc w:val="both"/>
        <w:rPr>
          <w:rFonts w:ascii="CG Omega" w:hAnsi="CG Omega"/>
          <w:b/>
          <w:sz w:val="28"/>
          <w:szCs w:val="28"/>
        </w:rPr>
      </w:pPr>
      <w:bookmarkStart w:id="0" w:name="_GoBack"/>
      <w:bookmarkEnd w:id="0"/>
      <w:r w:rsidRPr="00C8735C">
        <w:rPr>
          <w:rFonts w:ascii="CG Omega" w:hAnsi="CG Omega"/>
          <w:b/>
          <w:noProof/>
          <w:sz w:val="28"/>
          <w:szCs w:val="28"/>
          <w:lang w:bidi="ar-SA"/>
        </w:rPr>
        <w:drawing>
          <wp:anchor distT="0" distB="0" distL="114300" distR="114300" simplePos="0" relativeHeight="251661312" behindDoc="0" locked="0" layoutInCell="1" allowOverlap="1">
            <wp:simplePos x="0" y="0"/>
            <wp:positionH relativeFrom="column">
              <wp:posOffset>5290820</wp:posOffset>
            </wp:positionH>
            <wp:positionV relativeFrom="paragraph">
              <wp:posOffset>-267970</wp:posOffset>
            </wp:positionV>
            <wp:extent cx="701040" cy="1027430"/>
            <wp:effectExtent l="19050" t="0" r="3810" b="0"/>
            <wp:wrapThrough wrapText="bothSides">
              <wp:wrapPolygon edited="0">
                <wp:start x="-587" y="0"/>
                <wp:lineTo x="-587" y="21226"/>
                <wp:lineTo x="21717" y="21226"/>
                <wp:lineTo x="21717" y="0"/>
                <wp:lineTo x="-587" y="0"/>
              </wp:wrapPolygon>
            </wp:wrapThrough>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1040" cy="1027430"/>
                    </a:xfrm>
                    <a:prstGeom prst="rect">
                      <a:avLst/>
                    </a:prstGeom>
                    <a:noFill/>
                    <a:ln w="9525">
                      <a:noFill/>
                      <a:miter lim="800000"/>
                      <a:headEnd/>
                      <a:tailEnd/>
                    </a:ln>
                  </pic:spPr>
                </pic:pic>
              </a:graphicData>
            </a:graphic>
          </wp:anchor>
        </w:drawing>
      </w:r>
      <w:r w:rsidRPr="00C8735C">
        <w:rPr>
          <w:rFonts w:ascii="CG Omega" w:hAnsi="CG Omega"/>
          <w:b/>
          <w:sz w:val="28"/>
          <w:szCs w:val="28"/>
        </w:rPr>
        <w:t xml:space="preserve">MSUNDUZI MUNICIPALITY </w:t>
      </w:r>
    </w:p>
    <w:p w:rsidR="00051A47" w:rsidRPr="00A239F8" w:rsidRDefault="00C8735C" w:rsidP="0012503E">
      <w:pPr>
        <w:spacing w:before="60" w:after="0" w:line="312" w:lineRule="auto"/>
        <w:jc w:val="both"/>
        <w:rPr>
          <w:rFonts w:ascii="Century Gothic" w:hAnsi="Century Gothic" w:cs="Aharoni"/>
          <w:b/>
        </w:rPr>
      </w:pPr>
      <w:r w:rsidRPr="00A239F8">
        <w:rPr>
          <w:rFonts w:ascii="Century Gothic" w:hAnsi="Century Gothic" w:cs="Aharoni"/>
          <w:b/>
        </w:rPr>
        <w:t xml:space="preserve">Sustainable Development &amp; City Enterprises </w:t>
      </w:r>
    </w:p>
    <w:p w:rsidR="00051A47" w:rsidRPr="00051A47" w:rsidRDefault="00051A47" w:rsidP="0012503E">
      <w:pPr>
        <w:spacing w:before="120" w:after="0" w:line="312" w:lineRule="auto"/>
        <w:jc w:val="both"/>
        <w:rPr>
          <w:sz w:val="20"/>
          <w:szCs w:val="20"/>
        </w:rPr>
      </w:pPr>
      <w:r w:rsidRPr="00051A47">
        <w:rPr>
          <w:rFonts w:ascii="Century Gothic" w:hAnsi="Century Gothic"/>
          <w:sz w:val="20"/>
          <w:szCs w:val="20"/>
        </w:rPr>
        <w:t>The Greater Edendale Vulindlela Development Experience</w:t>
      </w:r>
    </w:p>
    <w:p w:rsidR="003E3543" w:rsidRDefault="00F76278" w:rsidP="0012503E">
      <w:pPr>
        <w:jc w:val="both"/>
        <w:rPr>
          <w:rFonts w:ascii="Arial" w:hAnsi="Arial" w:cs="Arial"/>
          <w:b/>
          <w:u w:val="single"/>
        </w:rPr>
      </w:pPr>
      <w:r>
        <w:rPr>
          <w:rFonts w:ascii="Century Gothic" w:hAnsi="Century Gothic" w:cstheme="minorBidi"/>
          <w:noProof/>
          <w:lang w:bidi="ar-SA"/>
        </w:rPr>
        <mc:AlternateContent>
          <mc:Choice Requires="wps">
            <w:drawing>
              <wp:anchor distT="4294967295" distB="4294967295" distL="114300" distR="114300" simplePos="0" relativeHeight="251660288" behindDoc="0" locked="0" layoutInCell="1" allowOverlap="1">
                <wp:simplePos x="0" y="0"/>
                <wp:positionH relativeFrom="column">
                  <wp:posOffset>-6350</wp:posOffset>
                </wp:positionH>
                <wp:positionV relativeFrom="paragraph">
                  <wp:posOffset>76199</wp:posOffset>
                </wp:positionV>
                <wp:extent cx="4104005" cy="0"/>
                <wp:effectExtent l="0" t="19050" r="10795" b="381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4005"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pt;margin-top:6pt;width:323.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" strokecolor="red" strokeweight="4.5pt"/>
            </w:pict>
          </mc:Fallback>
        </mc:AlternateContent>
      </w:r>
    </w:p>
    <w:tbl>
      <w:tblPr>
        <w:tblStyle w:val="TableGrid"/>
        <w:tblW w:w="0" w:type="auto"/>
        <w:tblLook w:val="04A0" w:firstRow="1" w:lastRow="0" w:firstColumn="1" w:lastColumn="0" w:noHBand="0" w:noVBand="1"/>
      </w:tblPr>
      <w:tblGrid>
        <w:gridCol w:w="9855"/>
      </w:tblGrid>
      <w:tr w:rsidR="00D452F0" w:rsidTr="003E3543">
        <w:trPr>
          <w:trHeight w:val="454"/>
        </w:trPr>
        <w:tc>
          <w:tcPr>
            <w:tcW w:w="9855" w:type="dxa"/>
            <w:shd w:val="clear" w:color="auto" w:fill="000000" w:themeFill="text1"/>
          </w:tcPr>
          <w:p w:rsidR="00D452F0" w:rsidRPr="004B0753" w:rsidRDefault="003E3543" w:rsidP="0012503E">
            <w:pPr>
              <w:spacing w:before="120" w:after="120"/>
              <w:jc w:val="both"/>
              <w:rPr>
                <w:rFonts w:ascii="Century Gothic" w:hAnsi="Century Gothic"/>
                <w:b/>
                <w:color w:val="FFFFFF" w:themeColor="background1"/>
              </w:rPr>
            </w:pPr>
            <w:r w:rsidRPr="004B0753">
              <w:rPr>
                <w:rFonts w:ascii="Century Gothic" w:hAnsi="Century Gothic"/>
                <w:b/>
                <w:color w:val="FFFFFF" w:themeColor="background1"/>
              </w:rPr>
              <w:t>ISOCARP</w:t>
            </w:r>
            <w:r w:rsidR="004B0753" w:rsidRPr="004B0753">
              <w:rPr>
                <w:rFonts w:ascii="Century Gothic" w:hAnsi="Century Gothic"/>
                <w:b/>
                <w:color w:val="FFFFFF" w:themeColor="background1"/>
              </w:rPr>
              <w:t>: Background</w:t>
            </w:r>
          </w:p>
        </w:tc>
      </w:tr>
      <w:tr w:rsidR="00D452F0" w:rsidTr="00D452F0">
        <w:tc>
          <w:tcPr>
            <w:tcW w:w="9855" w:type="dxa"/>
          </w:tcPr>
          <w:p w:rsidR="004B0753" w:rsidRPr="004D79CF" w:rsidRDefault="004B0753" w:rsidP="00506369">
            <w:pPr>
              <w:spacing w:before="120" w:after="120" w:line="288" w:lineRule="auto"/>
              <w:rPr>
                <w:sz w:val="20"/>
                <w:szCs w:val="20"/>
              </w:rPr>
            </w:pPr>
            <w:r w:rsidRPr="004D79CF">
              <w:rPr>
                <w:sz w:val="20"/>
                <w:szCs w:val="20"/>
              </w:rPr>
              <w:t>The International Society of City and Regional Planners is a global association of experienced City and Regional Planners, founded in 1965. The ISOCARP has grown to become a global network of City and Regional Planners, creating and sharing knowledge for better cities, promoting education and planning practice, and supporting City and Regional Planners in all places and all fields of activity – professional practice, administration, policy making, teaching and research.</w:t>
            </w:r>
            <w:r>
              <w:rPr>
                <w:sz w:val="20"/>
                <w:szCs w:val="20"/>
              </w:rPr>
              <w:t xml:space="preserve"> </w:t>
            </w:r>
            <w:r w:rsidRPr="004D79CF">
              <w:rPr>
                <w:sz w:val="20"/>
                <w:szCs w:val="20"/>
              </w:rPr>
              <w:t>The ISOCARP congress is a non-governmental organization which is recognized by the United Nations (UN), the United Nations Human Settlements Programme (UNHCS/UN-HABITAT), and the Council of Europe. The Society also has a formal consultative status with the UN Education, Scientific and Cultural Organisation (UNESCO).</w:t>
            </w:r>
          </w:p>
          <w:p w:rsidR="004B0753" w:rsidRPr="004D79CF" w:rsidRDefault="004B0753" w:rsidP="00506369">
            <w:pPr>
              <w:spacing w:before="200" w:after="40" w:line="288" w:lineRule="auto"/>
              <w:rPr>
                <w:sz w:val="20"/>
                <w:szCs w:val="20"/>
              </w:rPr>
            </w:pPr>
            <w:r w:rsidRPr="004D79CF">
              <w:rPr>
                <w:sz w:val="20"/>
                <w:szCs w:val="20"/>
              </w:rPr>
              <w:t>One of the main activities of ISOCARP is the organization of its annual World Congress which focuses on a planning theme of foremost international interest. The ISOCARP network brings together individual and institutional members from more than 80 countries worldwide. Members are planners and other stakeholders involved in the development and maintenance of the built environment.</w:t>
            </w:r>
          </w:p>
          <w:p w:rsidR="00763FFA" w:rsidRPr="00D452F0" w:rsidRDefault="00957D2F" w:rsidP="00506369">
            <w:pPr>
              <w:spacing w:before="200" w:after="120" w:line="288" w:lineRule="auto"/>
              <w:rPr>
                <w:sz w:val="20"/>
                <w:szCs w:val="20"/>
              </w:rPr>
            </w:pPr>
            <w:r>
              <w:rPr>
                <w:noProof/>
                <w:sz w:val="20"/>
                <w:szCs w:val="20"/>
                <w:lang w:bidi="ar-SA"/>
              </w:rPr>
              <w:drawing>
                <wp:anchor distT="0" distB="0" distL="114300" distR="114300" simplePos="0" relativeHeight="251663360" behindDoc="0" locked="0" layoutInCell="1" allowOverlap="1" wp14:anchorId="2A36D91A" wp14:editId="15337BA3">
                  <wp:simplePos x="0" y="0"/>
                  <wp:positionH relativeFrom="column">
                    <wp:posOffset>4075430</wp:posOffset>
                  </wp:positionH>
                  <wp:positionV relativeFrom="paragraph">
                    <wp:posOffset>-325120</wp:posOffset>
                  </wp:positionV>
                  <wp:extent cx="2002790" cy="1255395"/>
                  <wp:effectExtent l="19050" t="19050" r="16510" b="209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790" cy="12553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B0753" w:rsidRPr="004D79CF">
              <w:rPr>
                <w:sz w:val="20"/>
                <w:szCs w:val="20"/>
              </w:rPr>
              <w:t>The congress takes place in a different city every year, recent hosts being Rotterdam in Netherlands (2015); Gdynia in Poland (2014); and Perm in Russia (2013). ISOCARP has held congresses on vital topics in the field of city and regional planning in every year since 1965. Combining a unique, triple perspective in theory, policy and practice, ISOCARP has pioneered the focus of the planning profession on issues such as regional urban planning (1966), urban regeneration (1981), planning for land and water (1998), the creative economy (2005) and low carbon cities (2009).</w:t>
            </w:r>
            <w:r w:rsidR="007A2FE3">
              <w:rPr>
                <w:sz w:val="20"/>
                <w:szCs w:val="20"/>
              </w:rPr>
              <w:t xml:space="preserve"> </w:t>
            </w:r>
          </w:p>
        </w:tc>
      </w:tr>
    </w:tbl>
    <w:p w:rsidR="00D452F0" w:rsidRDefault="00D452F0" w:rsidP="0012503E">
      <w:pPr>
        <w:jc w:val="both"/>
        <w:rPr>
          <w:rFonts w:ascii="Arial" w:hAnsi="Arial" w:cs="Arial"/>
          <w:sz w:val="10"/>
          <w:szCs w:val="10"/>
        </w:rPr>
      </w:pPr>
    </w:p>
    <w:tbl>
      <w:tblPr>
        <w:tblStyle w:val="TableGrid"/>
        <w:tblW w:w="0" w:type="auto"/>
        <w:tblLook w:val="04A0" w:firstRow="1" w:lastRow="0" w:firstColumn="1" w:lastColumn="0" w:noHBand="0" w:noVBand="1"/>
      </w:tblPr>
      <w:tblGrid>
        <w:gridCol w:w="9855"/>
      </w:tblGrid>
      <w:tr w:rsidR="004F757A" w:rsidTr="00ED264E">
        <w:trPr>
          <w:trHeight w:val="454"/>
        </w:trPr>
        <w:tc>
          <w:tcPr>
            <w:tcW w:w="9855" w:type="dxa"/>
            <w:shd w:val="clear" w:color="auto" w:fill="000000" w:themeFill="text1"/>
            <w:vAlign w:val="center"/>
          </w:tcPr>
          <w:p w:rsidR="004F757A" w:rsidRPr="00BD4EBF" w:rsidRDefault="004B0753" w:rsidP="0012503E">
            <w:pPr>
              <w:spacing w:before="60" w:after="60"/>
              <w:jc w:val="both"/>
              <w:rPr>
                <w:rFonts w:ascii="Century Gothic" w:hAnsi="Century Gothic" w:cs="Arial"/>
                <w:b/>
                <w:color w:val="FFFFFF" w:themeColor="background1"/>
              </w:rPr>
            </w:pPr>
            <w:r>
              <w:rPr>
                <w:rFonts w:ascii="Century Gothic" w:hAnsi="Century Gothic" w:cs="Arial"/>
                <w:b/>
                <w:color w:val="FFFFFF" w:themeColor="background1"/>
              </w:rPr>
              <w:t>Congress Theme and Focus:</w:t>
            </w:r>
            <w:r w:rsidR="004F757A" w:rsidRPr="00BD4EBF">
              <w:rPr>
                <w:rFonts w:ascii="Century Gothic" w:hAnsi="Century Gothic" w:cs="Arial"/>
                <w:b/>
                <w:color w:val="FFFFFF" w:themeColor="background1"/>
              </w:rPr>
              <w:t xml:space="preserve"> 2016</w:t>
            </w:r>
          </w:p>
        </w:tc>
      </w:tr>
      <w:tr w:rsidR="004F757A" w:rsidTr="004F757A">
        <w:tc>
          <w:tcPr>
            <w:tcW w:w="9855" w:type="dxa"/>
          </w:tcPr>
          <w:p w:rsidR="00796D71" w:rsidRDefault="004F757A" w:rsidP="00506369">
            <w:pPr>
              <w:spacing w:before="60" w:after="40" w:line="288" w:lineRule="auto"/>
              <w:rPr>
                <w:bCs/>
                <w:iCs/>
                <w:sz w:val="20"/>
                <w:szCs w:val="20"/>
                <w:lang w:val="en-US"/>
              </w:rPr>
            </w:pPr>
            <w:r>
              <w:rPr>
                <w:sz w:val="20"/>
                <w:szCs w:val="20"/>
              </w:rPr>
              <w:t>T</w:t>
            </w:r>
            <w:r w:rsidR="004B0753">
              <w:rPr>
                <w:sz w:val="20"/>
                <w:szCs w:val="20"/>
              </w:rPr>
              <w:t xml:space="preserve">he principle </w:t>
            </w:r>
            <w:r w:rsidR="00796D71">
              <w:rPr>
                <w:sz w:val="20"/>
                <w:szCs w:val="20"/>
              </w:rPr>
              <w:t>Congress T</w:t>
            </w:r>
            <w:r w:rsidR="004B0753">
              <w:rPr>
                <w:sz w:val="20"/>
                <w:szCs w:val="20"/>
              </w:rPr>
              <w:t xml:space="preserve">heme for </w:t>
            </w:r>
            <w:r w:rsidR="00796D71">
              <w:rPr>
                <w:sz w:val="20"/>
                <w:szCs w:val="20"/>
              </w:rPr>
              <w:t xml:space="preserve">2016 </w:t>
            </w:r>
            <w:r w:rsidR="004B0753">
              <w:rPr>
                <w:sz w:val="20"/>
                <w:szCs w:val="20"/>
              </w:rPr>
              <w:t xml:space="preserve">is declared as </w:t>
            </w:r>
            <w:r w:rsidR="004B0753" w:rsidRPr="004D79CF">
              <w:rPr>
                <w:bCs/>
                <w:iCs/>
                <w:sz w:val="20"/>
                <w:szCs w:val="20"/>
                <w:lang w:val="en-US"/>
              </w:rPr>
              <w:t xml:space="preserve">“The cities we have </w:t>
            </w:r>
            <w:proofErr w:type="spellStart"/>
            <w:r w:rsidR="004B0753" w:rsidRPr="004D79CF">
              <w:rPr>
                <w:bCs/>
                <w:i/>
                <w:iCs/>
                <w:sz w:val="20"/>
                <w:szCs w:val="20"/>
                <w:lang w:val="en-US"/>
              </w:rPr>
              <w:t>vs</w:t>
            </w:r>
            <w:proofErr w:type="spellEnd"/>
            <w:r w:rsidR="004B0753" w:rsidRPr="004D79CF">
              <w:rPr>
                <w:bCs/>
                <w:iCs/>
                <w:sz w:val="20"/>
                <w:szCs w:val="20"/>
                <w:lang w:val="en-US"/>
              </w:rPr>
              <w:t xml:space="preserve"> the cities we need” </w:t>
            </w:r>
            <w:r w:rsidR="00796D71">
              <w:rPr>
                <w:bCs/>
                <w:iCs/>
                <w:sz w:val="20"/>
                <w:szCs w:val="20"/>
                <w:lang w:val="en-US"/>
              </w:rPr>
              <w:t>and reflects the need for a radical transformation development agenda and placing people at the center of this agenda. The Sub themes include the following</w:t>
            </w:r>
            <w:r w:rsidR="00506369">
              <w:rPr>
                <w:bCs/>
                <w:iCs/>
                <w:sz w:val="20"/>
                <w:szCs w:val="20"/>
                <w:lang w:val="en-US"/>
              </w:rPr>
              <w:t>:</w:t>
            </w:r>
          </w:p>
          <w:p w:rsidR="004B0753" w:rsidRPr="00796D71" w:rsidRDefault="004B0753" w:rsidP="00506369">
            <w:pPr>
              <w:pStyle w:val="ListParagraph"/>
              <w:numPr>
                <w:ilvl w:val="0"/>
                <w:numId w:val="2"/>
              </w:numPr>
              <w:spacing w:after="0" w:line="288" w:lineRule="auto"/>
              <w:ind w:left="284" w:hanging="284"/>
              <w:contextualSpacing w:val="0"/>
              <w:rPr>
                <w:bCs/>
                <w:iCs/>
                <w:sz w:val="20"/>
                <w:szCs w:val="20"/>
                <w:lang w:val="en-US"/>
              </w:rPr>
            </w:pPr>
            <w:r w:rsidRPr="00796D71">
              <w:rPr>
                <w:bCs/>
                <w:iCs/>
                <w:sz w:val="20"/>
                <w:szCs w:val="20"/>
                <w:lang w:val="en-US"/>
              </w:rPr>
              <w:t>Transforming Human settlements</w:t>
            </w:r>
          </w:p>
          <w:p w:rsidR="004B0753" w:rsidRPr="004D79CF" w:rsidRDefault="004B0753" w:rsidP="00506369">
            <w:pPr>
              <w:numPr>
                <w:ilvl w:val="0"/>
                <w:numId w:val="2"/>
              </w:numPr>
              <w:spacing w:after="0" w:line="288" w:lineRule="auto"/>
              <w:ind w:left="284" w:hanging="284"/>
              <w:rPr>
                <w:bCs/>
                <w:iCs/>
                <w:sz w:val="20"/>
                <w:szCs w:val="20"/>
                <w:lang w:val="en-US"/>
              </w:rPr>
            </w:pPr>
            <w:r w:rsidRPr="004D79CF">
              <w:rPr>
                <w:bCs/>
                <w:iCs/>
                <w:sz w:val="20"/>
                <w:szCs w:val="20"/>
                <w:lang w:val="en-US"/>
              </w:rPr>
              <w:t>Planning Activism and Social Justice</w:t>
            </w:r>
          </w:p>
          <w:p w:rsidR="004B0753" w:rsidRPr="004D79CF" w:rsidRDefault="004B0753" w:rsidP="00506369">
            <w:pPr>
              <w:numPr>
                <w:ilvl w:val="0"/>
                <w:numId w:val="2"/>
              </w:numPr>
              <w:spacing w:after="0" w:line="288" w:lineRule="auto"/>
              <w:ind w:left="284" w:hanging="284"/>
              <w:rPr>
                <w:bCs/>
                <w:iCs/>
                <w:sz w:val="20"/>
                <w:szCs w:val="20"/>
                <w:lang w:val="en-US"/>
              </w:rPr>
            </w:pPr>
            <w:r w:rsidRPr="004D79CF">
              <w:rPr>
                <w:bCs/>
                <w:iCs/>
                <w:sz w:val="20"/>
                <w:szCs w:val="20"/>
                <w:lang w:val="en-US"/>
              </w:rPr>
              <w:t>Envisaging Planning Theory and Practice for the next decades</w:t>
            </w:r>
          </w:p>
          <w:p w:rsidR="004B0753" w:rsidRPr="004D79CF" w:rsidRDefault="004B0753" w:rsidP="00506369">
            <w:pPr>
              <w:numPr>
                <w:ilvl w:val="0"/>
                <w:numId w:val="2"/>
              </w:numPr>
              <w:spacing w:after="0" w:line="288" w:lineRule="auto"/>
              <w:ind w:left="284" w:hanging="284"/>
              <w:rPr>
                <w:bCs/>
                <w:iCs/>
                <w:sz w:val="20"/>
                <w:szCs w:val="20"/>
                <w:lang w:val="en-US"/>
              </w:rPr>
            </w:pPr>
            <w:r w:rsidRPr="004D79CF">
              <w:rPr>
                <w:bCs/>
                <w:iCs/>
                <w:sz w:val="20"/>
                <w:szCs w:val="20"/>
                <w:lang w:val="en-US"/>
              </w:rPr>
              <w:t>Urban Planning and Policy making in times of uncertainty, fragility and insecurity,</w:t>
            </w:r>
          </w:p>
          <w:p w:rsidR="004B0753" w:rsidRPr="004D79CF" w:rsidRDefault="004B0753" w:rsidP="00506369">
            <w:pPr>
              <w:numPr>
                <w:ilvl w:val="0"/>
                <w:numId w:val="2"/>
              </w:numPr>
              <w:spacing w:after="0" w:line="288" w:lineRule="auto"/>
              <w:ind w:left="284" w:hanging="284"/>
              <w:rPr>
                <w:bCs/>
                <w:iCs/>
                <w:sz w:val="20"/>
                <w:szCs w:val="20"/>
                <w:lang w:val="en-US"/>
              </w:rPr>
            </w:pPr>
            <w:r w:rsidRPr="004D79CF">
              <w:rPr>
                <w:bCs/>
                <w:iCs/>
                <w:sz w:val="20"/>
                <w:szCs w:val="20"/>
                <w:lang w:val="en-US"/>
              </w:rPr>
              <w:t>Intelligent Cities for people and</w:t>
            </w:r>
          </w:p>
          <w:p w:rsidR="004B0753" w:rsidRPr="004D79CF" w:rsidRDefault="00506369" w:rsidP="00506369">
            <w:pPr>
              <w:numPr>
                <w:ilvl w:val="0"/>
                <w:numId w:val="2"/>
              </w:numPr>
              <w:spacing w:after="0" w:line="288" w:lineRule="auto"/>
              <w:ind w:left="284" w:hanging="284"/>
              <w:rPr>
                <w:bCs/>
                <w:iCs/>
                <w:sz w:val="20"/>
                <w:szCs w:val="20"/>
                <w:lang w:val="en-US"/>
              </w:rPr>
            </w:pPr>
            <w:r>
              <w:rPr>
                <w:bCs/>
                <w:iCs/>
                <w:noProof/>
                <w:sz w:val="20"/>
                <w:szCs w:val="20"/>
                <w:lang w:bidi="ar-SA"/>
              </w:rPr>
              <w:drawing>
                <wp:anchor distT="0" distB="0" distL="114300" distR="114300" simplePos="0" relativeHeight="251664384" behindDoc="0" locked="0" layoutInCell="1" allowOverlap="1" wp14:anchorId="1D6DB574" wp14:editId="14D6F291">
                  <wp:simplePos x="0" y="0"/>
                  <wp:positionH relativeFrom="column">
                    <wp:posOffset>4684395</wp:posOffset>
                  </wp:positionH>
                  <wp:positionV relativeFrom="paragraph">
                    <wp:posOffset>-1270635</wp:posOffset>
                  </wp:positionV>
                  <wp:extent cx="1392555" cy="1115060"/>
                  <wp:effectExtent l="19050" t="19050" r="17145" b="279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28" t="7741" r="5956" b="5418"/>
                          <a:stretch/>
                        </pic:blipFill>
                        <pic:spPr bwMode="auto">
                          <a:xfrm>
                            <a:off x="0" y="0"/>
                            <a:ext cx="1392555" cy="111506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0753" w:rsidRPr="004D79CF">
              <w:rPr>
                <w:bCs/>
                <w:iCs/>
                <w:sz w:val="20"/>
                <w:szCs w:val="20"/>
                <w:lang w:val="en-US"/>
              </w:rPr>
              <w:t>Planning for an interlinked and integrated rural-urban development.</w:t>
            </w:r>
          </w:p>
          <w:p w:rsidR="004F757A" w:rsidRDefault="008506FD" w:rsidP="00506369">
            <w:pPr>
              <w:spacing w:before="120" w:after="120" w:line="288" w:lineRule="auto"/>
              <w:rPr>
                <w:bCs/>
                <w:iCs/>
                <w:sz w:val="20"/>
                <w:szCs w:val="20"/>
                <w:lang w:val="en-US"/>
              </w:rPr>
            </w:pPr>
            <w:r>
              <w:rPr>
                <w:bCs/>
                <w:iCs/>
                <w:noProof/>
                <w:sz w:val="20"/>
                <w:szCs w:val="20"/>
                <w:lang w:bidi="ar-SA"/>
              </w:rPr>
              <w:drawing>
                <wp:anchor distT="0" distB="0" distL="114300" distR="114300" simplePos="0" relativeHeight="251669504" behindDoc="0" locked="0" layoutInCell="1" allowOverlap="1" wp14:anchorId="6EC9AA13" wp14:editId="498E84B3">
                  <wp:simplePos x="0" y="0"/>
                  <wp:positionH relativeFrom="column">
                    <wp:posOffset>2538730</wp:posOffset>
                  </wp:positionH>
                  <wp:positionV relativeFrom="paragraph">
                    <wp:posOffset>548640</wp:posOffset>
                  </wp:positionV>
                  <wp:extent cx="927735" cy="1113155"/>
                  <wp:effectExtent l="19050" t="19050" r="24765" b="1079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_0054.JPG"/>
                          <pic:cNvPicPr/>
                        </pic:nvPicPr>
                        <pic:blipFill rotWithShape="1">
                          <a:blip r:embed="rId11" cstate="print">
                            <a:extLst>
                              <a:ext uri="{28A0092B-C50C-407E-A947-70E740481C1C}">
                                <a14:useLocalDpi xmlns:a14="http://schemas.microsoft.com/office/drawing/2010/main" val="0"/>
                              </a:ext>
                            </a:extLst>
                          </a:blip>
                          <a:srcRect t="6824" b="13255"/>
                          <a:stretch/>
                        </pic:blipFill>
                        <pic:spPr bwMode="auto">
                          <a:xfrm>
                            <a:off x="0" y="0"/>
                            <a:ext cx="927735" cy="11131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iCs/>
                <w:noProof/>
                <w:sz w:val="20"/>
                <w:szCs w:val="20"/>
                <w:lang w:bidi="ar-SA"/>
              </w:rPr>
              <w:drawing>
                <wp:anchor distT="0" distB="0" distL="114300" distR="114300" simplePos="0" relativeHeight="251668480" behindDoc="0" locked="0" layoutInCell="1" allowOverlap="1" wp14:anchorId="4849717D" wp14:editId="44939D87">
                  <wp:simplePos x="0" y="0"/>
                  <wp:positionH relativeFrom="column">
                    <wp:posOffset>3611880</wp:posOffset>
                  </wp:positionH>
                  <wp:positionV relativeFrom="paragraph">
                    <wp:posOffset>590550</wp:posOffset>
                  </wp:positionV>
                  <wp:extent cx="1379855" cy="1031875"/>
                  <wp:effectExtent l="19050" t="19050" r="10795" b="158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_0016.JPG"/>
                          <pic:cNvPicPr/>
                        </pic:nvPicPr>
                        <pic:blipFill rotWithShape="1">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l="12871" t="9985" r="10203" b="3694"/>
                          <a:stretch/>
                        </pic:blipFill>
                        <pic:spPr bwMode="auto">
                          <a:xfrm>
                            <a:off x="0" y="0"/>
                            <a:ext cx="1379855" cy="10318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iCs/>
                <w:noProof/>
                <w:sz w:val="20"/>
                <w:szCs w:val="20"/>
                <w:lang w:bidi="ar-SA"/>
              </w:rPr>
              <w:drawing>
                <wp:anchor distT="0" distB="0" distL="114300" distR="114300" simplePos="0" relativeHeight="251667456" behindDoc="0" locked="0" layoutInCell="1" allowOverlap="1" wp14:anchorId="6E0F2B11" wp14:editId="56F42203">
                  <wp:simplePos x="0" y="0"/>
                  <wp:positionH relativeFrom="column">
                    <wp:posOffset>889635</wp:posOffset>
                  </wp:positionH>
                  <wp:positionV relativeFrom="paragraph">
                    <wp:posOffset>594360</wp:posOffset>
                  </wp:positionV>
                  <wp:extent cx="1529715" cy="1029335"/>
                  <wp:effectExtent l="19050" t="19050" r="13335" b="184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_0012.JPG"/>
                          <pic:cNvPicPr/>
                        </pic:nvPicPr>
                        <pic:blipFill rotWithShape="1">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l="7989" t="7102" r="4733" b="4815"/>
                          <a:stretch/>
                        </pic:blipFill>
                        <pic:spPr bwMode="auto">
                          <a:xfrm>
                            <a:off x="0" y="0"/>
                            <a:ext cx="1529715" cy="10293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CDD">
              <w:rPr>
                <w:bCs/>
                <w:iCs/>
                <w:sz w:val="20"/>
                <w:szCs w:val="20"/>
                <w:lang w:val="en-US"/>
              </w:rPr>
              <w:t>The Msunduzi Municipality was invited to submit a Concept Note and chose to reflect the above sub theme in the context of the Greater Edendale Vulindlela Development Initiative as a case of best practice.</w:t>
            </w:r>
          </w:p>
          <w:p w:rsidR="00506369" w:rsidRDefault="00506369" w:rsidP="00506369">
            <w:pPr>
              <w:spacing w:before="120" w:after="120" w:line="288" w:lineRule="auto"/>
              <w:rPr>
                <w:bCs/>
                <w:iCs/>
                <w:sz w:val="20"/>
                <w:szCs w:val="20"/>
                <w:lang w:val="en-US"/>
              </w:rPr>
            </w:pPr>
          </w:p>
          <w:p w:rsidR="00506369" w:rsidRDefault="00506369" w:rsidP="00506369">
            <w:pPr>
              <w:spacing w:before="120" w:after="120" w:line="288" w:lineRule="auto"/>
              <w:rPr>
                <w:bCs/>
                <w:iCs/>
                <w:sz w:val="20"/>
                <w:szCs w:val="20"/>
                <w:lang w:val="en-US"/>
              </w:rPr>
            </w:pPr>
          </w:p>
          <w:p w:rsidR="00506369" w:rsidRDefault="00506369" w:rsidP="00506369">
            <w:pPr>
              <w:spacing w:before="120" w:after="120" w:line="288" w:lineRule="auto"/>
              <w:rPr>
                <w:bCs/>
                <w:iCs/>
                <w:sz w:val="20"/>
                <w:szCs w:val="20"/>
                <w:lang w:val="en-US"/>
              </w:rPr>
            </w:pPr>
          </w:p>
          <w:p w:rsidR="00506369" w:rsidRDefault="00506369" w:rsidP="00506369">
            <w:pPr>
              <w:spacing w:before="120" w:after="120" w:line="288" w:lineRule="auto"/>
              <w:rPr>
                <w:bCs/>
                <w:iCs/>
                <w:sz w:val="20"/>
                <w:szCs w:val="20"/>
                <w:lang w:val="en-US"/>
              </w:rPr>
            </w:pPr>
          </w:p>
          <w:p w:rsidR="00506369" w:rsidRDefault="00506369" w:rsidP="00506369">
            <w:pPr>
              <w:spacing w:before="120" w:after="120" w:line="288" w:lineRule="auto"/>
              <w:rPr>
                <w:rFonts w:ascii="Arial" w:hAnsi="Arial" w:cs="Arial"/>
                <w:sz w:val="10"/>
                <w:szCs w:val="10"/>
              </w:rPr>
            </w:pPr>
          </w:p>
        </w:tc>
      </w:tr>
      <w:tr w:rsidR="00D452F0" w:rsidTr="00ED264E">
        <w:trPr>
          <w:trHeight w:val="454"/>
        </w:trPr>
        <w:tc>
          <w:tcPr>
            <w:tcW w:w="9855" w:type="dxa"/>
            <w:shd w:val="clear" w:color="auto" w:fill="000000" w:themeFill="text1"/>
          </w:tcPr>
          <w:p w:rsidR="00D452F0" w:rsidRPr="00BD4EBF" w:rsidRDefault="00D452F0" w:rsidP="0012503E">
            <w:pPr>
              <w:spacing w:before="60" w:after="60"/>
              <w:jc w:val="both"/>
              <w:rPr>
                <w:rFonts w:ascii="Arial" w:hAnsi="Arial" w:cs="Arial"/>
                <w:color w:val="FFFFFF" w:themeColor="background1"/>
              </w:rPr>
            </w:pPr>
            <w:r w:rsidRPr="00BD4EBF">
              <w:rPr>
                <w:rFonts w:ascii="Century Gothic" w:hAnsi="Century Gothic"/>
                <w:b/>
                <w:color w:val="FFFFFF" w:themeColor="background1"/>
              </w:rPr>
              <w:lastRenderedPageBreak/>
              <w:t>Submission By The Msunduzi Local Municipality</w:t>
            </w:r>
          </w:p>
        </w:tc>
      </w:tr>
      <w:tr w:rsidR="00D452F0" w:rsidTr="00D452F0">
        <w:tc>
          <w:tcPr>
            <w:tcW w:w="9855" w:type="dxa"/>
          </w:tcPr>
          <w:p w:rsidR="003F13B9" w:rsidRPr="007A2FE3" w:rsidRDefault="003F13B9" w:rsidP="00506369">
            <w:pPr>
              <w:spacing w:before="120" w:after="120" w:line="288" w:lineRule="auto"/>
              <w:rPr>
                <w:rFonts w:cs="Arial"/>
                <w:sz w:val="20"/>
              </w:rPr>
            </w:pPr>
            <w:r>
              <w:rPr>
                <w:rFonts w:cs="Arial"/>
                <w:sz w:val="20"/>
              </w:rPr>
              <w:t>Broad intellectual processes can contribute to conceptual alterations and shifts which are often the major agents of policy innovation. Urban policy making therefore is the product of a continuous interaction of intellectual process and institutional response and decision making. From this it can be argued that urban policy and decision making are driven by successive sets of powerful, and relatively consistent, value judgments which have had a profound influence on how urban problems are defined, and on the policies derived to deal with those problems. The principle mandate of the Municipality is to expediently secure and advance the reconstruction and development of the Greater Edendale and Vulindlela Area as a cohesive system made up of functionally interrelated elements. Given the long years of neglect that has to be reversed, the tran</w:t>
            </w:r>
            <w:r w:rsidR="00E672D6">
              <w:rPr>
                <w:rFonts w:cs="Arial"/>
                <w:sz w:val="20"/>
              </w:rPr>
              <w:t>sformation challenges</w:t>
            </w:r>
            <w:r>
              <w:rPr>
                <w:rFonts w:cs="Arial"/>
                <w:sz w:val="20"/>
              </w:rPr>
              <w:t xml:space="preserve"> are formidable.</w:t>
            </w:r>
          </w:p>
          <w:p w:rsidR="00D452F0" w:rsidRPr="007A2FE3" w:rsidRDefault="006A70E4" w:rsidP="00506369">
            <w:pPr>
              <w:spacing w:before="240" w:after="120" w:line="288" w:lineRule="auto"/>
              <w:rPr>
                <w:rFonts w:eastAsia="Calibri" w:cs="Arial"/>
                <w:sz w:val="20"/>
                <w:szCs w:val="20"/>
              </w:rPr>
            </w:pPr>
            <w:r>
              <w:rPr>
                <w:rFonts w:cs="Arial"/>
                <w:noProof/>
                <w:sz w:val="20"/>
                <w:lang w:bidi="ar-SA"/>
              </w:rPr>
              <w:drawing>
                <wp:anchor distT="0" distB="0" distL="114300" distR="114300" simplePos="0" relativeHeight="251665408" behindDoc="0" locked="0" layoutInCell="1" allowOverlap="1" wp14:anchorId="0C990B04" wp14:editId="66484D47">
                  <wp:simplePos x="0" y="0"/>
                  <wp:positionH relativeFrom="column">
                    <wp:posOffset>4612005</wp:posOffset>
                  </wp:positionH>
                  <wp:positionV relativeFrom="paragraph">
                    <wp:posOffset>-1321435</wp:posOffset>
                  </wp:positionV>
                  <wp:extent cx="1454785" cy="976630"/>
                  <wp:effectExtent l="19050" t="19050" r="12065" b="139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376" t="4944"/>
                          <a:stretch/>
                        </pic:blipFill>
                        <pic:spPr bwMode="auto">
                          <a:xfrm>
                            <a:off x="0" y="0"/>
                            <a:ext cx="1454785" cy="97663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6369">
              <w:rPr>
                <w:bCs/>
                <w:iCs/>
                <w:noProof/>
                <w:sz w:val="20"/>
                <w:szCs w:val="20"/>
                <w:lang w:bidi="ar-SA"/>
              </w:rPr>
              <w:drawing>
                <wp:anchor distT="0" distB="0" distL="114300" distR="114300" simplePos="0" relativeHeight="251666432" behindDoc="0" locked="0" layoutInCell="1" allowOverlap="1" wp14:anchorId="06FC7B73" wp14:editId="1F1891AB">
                  <wp:simplePos x="0" y="0"/>
                  <wp:positionH relativeFrom="column">
                    <wp:posOffset>3471545</wp:posOffset>
                  </wp:positionH>
                  <wp:positionV relativeFrom="paragraph">
                    <wp:posOffset>851535</wp:posOffset>
                  </wp:positionV>
                  <wp:extent cx="2588895" cy="778510"/>
                  <wp:effectExtent l="19050" t="19050" r="20955" b="21590"/>
                  <wp:wrapSquare wrapText="bothSides"/>
                  <wp:docPr id="6146" name="Content Placeholder 10"/>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146" name="Content Placeholder 10"/>
                          <pic:cNvPicPr>
                            <a:picLocks noGr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8895" cy="778510"/>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r w:rsidR="000B44FD" w:rsidRPr="0048737D">
              <w:rPr>
                <w:rFonts w:eastAsia="Calibri" w:cs="Arial"/>
                <w:sz w:val="20"/>
                <w:szCs w:val="20"/>
              </w:rPr>
              <w:t>The tour has two study areas namely Greater Edendale and Vulindlela which provide a mix of all the themes of the conference</w:t>
            </w:r>
            <w:r w:rsidR="00D74C08">
              <w:rPr>
                <w:rFonts w:eastAsia="Calibri" w:cs="Arial"/>
                <w:sz w:val="20"/>
                <w:szCs w:val="20"/>
              </w:rPr>
              <w:t xml:space="preserve"> and a dialogue for transformation</w:t>
            </w:r>
            <w:r w:rsidR="000B44FD" w:rsidRPr="0048737D">
              <w:rPr>
                <w:rFonts w:eastAsia="Calibri" w:cs="Arial"/>
                <w:sz w:val="20"/>
                <w:szCs w:val="20"/>
              </w:rPr>
              <w:t>. The re-development of Greater Edendale and Vulindlela within a shifting institutional</w:t>
            </w:r>
            <w:r w:rsidR="00D74C08">
              <w:rPr>
                <w:rFonts w:eastAsia="Calibri" w:cs="Arial"/>
                <w:sz w:val="20"/>
                <w:szCs w:val="20"/>
              </w:rPr>
              <w:t>, socio-economic</w:t>
            </w:r>
            <w:r w:rsidR="000B44FD" w:rsidRPr="0048737D">
              <w:rPr>
                <w:rFonts w:eastAsia="Calibri" w:cs="Arial"/>
                <w:sz w:val="20"/>
                <w:szCs w:val="20"/>
              </w:rPr>
              <w:t xml:space="preserve"> and political environment is </w:t>
            </w:r>
            <w:r w:rsidR="003F13B9">
              <w:rPr>
                <w:rFonts w:eastAsia="Calibri" w:cs="Arial"/>
                <w:sz w:val="20"/>
                <w:szCs w:val="20"/>
              </w:rPr>
              <w:t xml:space="preserve">accordingly </w:t>
            </w:r>
            <w:r w:rsidR="000B44FD" w:rsidRPr="0048737D">
              <w:rPr>
                <w:rFonts w:eastAsia="Calibri" w:cs="Arial"/>
                <w:sz w:val="20"/>
                <w:szCs w:val="20"/>
              </w:rPr>
              <w:t>explored and with the collapse of apartheid, these areas have re-emerged as a centre of symbolic hope. Urban Renewal and Urbanization hold great promise for economic and social progress, the improvement of access to basic services for a greater number of people and for cultivating democracy and equality. In so saying, the Technical Tour attempts to reflect some of the challenges of urban development management in the post-apartheid period and within a highly volatile and contested urban landscape</w:t>
            </w:r>
            <w:r w:rsidR="004D7AA7">
              <w:rPr>
                <w:rFonts w:eastAsia="Calibri" w:cs="Arial"/>
                <w:sz w:val="20"/>
                <w:szCs w:val="20"/>
              </w:rPr>
              <w:t>. In this context, the</w:t>
            </w:r>
            <w:r w:rsidR="004D7AA7" w:rsidRPr="004D79CF">
              <w:rPr>
                <w:bCs/>
                <w:iCs/>
                <w:sz w:val="20"/>
                <w:szCs w:val="20"/>
              </w:rPr>
              <w:t xml:space="preserve"> establishment of GEVDI </w:t>
            </w:r>
            <w:r w:rsidR="004D7AA7">
              <w:rPr>
                <w:bCs/>
                <w:iCs/>
                <w:sz w:val="20"/>
                <w:szCs w:val="20"/>
              </w:rPr>
              <w:t xml:space="preserve">[Greater Edendale Vulindlela Initiative] by the Municipality </w:t>
            </w:r>
            <w:r w:rsidR="004D7AA7" w:rsidRPr="004D79CF">
              <w:rPr>
                <w:bCs/>
                <w:iCs/>
                <w:sz w:val="20"/>
                <w:szCs w:val="20"/>
              </w:rPr>
              <w:t>as an integrated area–based urban development model is introduced.</w:t>
            </w:r>
            <w:r w:rsidR="00506369" w:rsidRPr="00506369">
              <w:rPr>
                <w:rFonts w:asciiTheme="majorHAnsi" w:hAnsiTheme="majorHAnsi"/>
                <w:noProof/>
                <w:lang w:eastAsia="en-ZA" w:bidi="ar-SA"/>
              </w:rPr>
              <w:t xml:space="preserve"> </w:t>
            </w:r>
          </w:p>
        </w:tc>
      </w:tr>
      <w:tr w:rsidR="000B44FD" w:rsidTr="00ED264E">
        <w:trPr>
          <w:trHeight w:val="454"/>
        </w:trPr>
        <w:tc>
          <w:tcPr>
            <w:tcW w:w="9855" w:type="dxa"/>
            <w:shd w:val="clear" w:color="auto" w:fill="000000" w:themeFill="text1"/>
          </w:tcPr>
          <w:p w:rsidR="000B44FD" w:rsidRPr="00BD4EBF" w:rsidRDefault="000B44FD" w:rsidP="0012503E">
            <w:pPr>
              <w:spacing w:before="120" w:after="120"/>
              <w:jc w:val="both"/>
              <w:rPr>
                <w:rFonts w:ascii="Arial" w:hAnsi="Arial" w:cs="Arial"/>
                <w:color w:val="FFFFFF" w:themeColor="background1"/>
              </w:rPr>
            </w:pPr>
            <w:r w:rsidRPr="00BD4EBF">
              <w:rPr>
                <w:rFonts w:ascii="Century Gothic" w:hAnsi="Century Gothic"/>
                <w:b/>
                <w:color w:val="FFFFFF" w:themeColor="background1"/>
              </w:rPr>
              <w:t>Greater Edendale Vulindlela Experience</w:t>
            </w:r>
          </w:p>
        </w:tc>
      </w:tr>
      <w:tr w:rsidR="000B44FD" w:rsidTr="000B44FD">
        <w:tc>
          <w:tcPr>
            <w:tcW w:w="9855" w:type="dxa"/>
          </w:tcPr>
          <w:p w:rsidR="000B44FD" w:rsidRPr="00AC1EA1" w:rsidRDefault="000B44FD" w:rsidP="00506369">
            <w:pPr>
              <w:spacing w:before="120" w:line="288" w:lineRule="auto"/>
              <w:rPr>
                <w:sz w:val="20"/>
                <w:szCs w:val="20"/>
              </w:rPr>
            </w:pPr>
            <w:r w:rsidRPr="00AC1EA1">
              <w:rPr>
                <w:sz w:val="20"/>
                <w:szCs w:val="20"/>
              </w:rPr>
              <w:t xml:space="preserve">The Case Study brings into focus the ability of a GEVDI to deliver on its mandate ie. </w:t>
            </w:r>
            <w:proofErr w:type="gramStart"/>
            <w:r w:rsidRPr="00AC1EA1">
              <w:rPr>
                <w:sz w:val="20"/>
                <w:szCs w:val="20"/>
              </w:rPr>
              <w:t>a</w:t>
            </w:r>
            <w:proofErr w:type="gramEnd"/>
            <w:r w:rsidRPr="00AC1EA1">
              <w:rPr>
                <w:sz w:val="20"/>
                <w:szCs w:val="20"/>
              </w:rPr>
              <w:t xml:space="preserve"> developmental local government tasked with attacking the blight of poverty, exclusion and deprivation. Moreover, the advent of democracy in South Africa in 1994 ushered in a period of numerous policy and legislative changes, which has had a profound impact on the working practice of development institutions. As such, the adoption of a holistic and integrated approach to development is a pressing pre occupation of policy </w:t>
            </w:r>
            <w:r w:rsidR="004D7AA7">
              <w:rPr>
                <w:sz w:val="20"/>
                <w:szCs w:val="20"/>
              </w:rPr>
              <w:t xml:space="preserve">and </w:t>
            </w:r>
            <w:r w:rsidR="00655CE0">
              <w:rPr>
                <w:sz w:val="20"/>
                <w:szCs w:val="20"/>
              </w:rPr>
              <w:t>to this end;</w:t>
            </w:r>
            <w:r w:rsidR="004D7AA7">
              <w:rPr>
                <w:sz w:val="20"/>
                <w:szCs w:val="20"/>
              </w:rPr>
              <w:t xml:space="preserve"> t</w:t>
            </w:r>
            <w:r w:rsidRPr="00AC1EA1">
              <w:rPr>
                <w:sz w:val="20"/>
                <w:szCs w:val="20"/>
              </w:rPr>
              <w:t xml:space="preserve">he Case Study provides an analysis </w:t>
            </w:r>
            <w:r w:rsidR="00655CE0">
              <w:rPr>
                <w:sz w:val="20"/>
                <w:szCs w:val="20"/>
              </w:rPr>
              <w:t xml:space="preserve">and planning </w:t>
            </w:r>
            <w:r w:rsidRPr="00AC1EA1">
              <w:rPr>
                <w:sz w:val="20"/>
                <w:szCs w:val="20"/>
              </w:rPr>
              <w:t xml:space="preserve">of Edendale and </w:t>
            </w:r>
            <w:r w:rsidR="004D7AA7">
              <w:rPr>
                <w:sz w:val="20"/>
                <w:szCs w:val="20"/>
              </w:rPr>
              <w:t>Vulindlela</w:t>
            </w:r>
            <w:r w:rsidRPr="00AC1EA1">
              <w:rPr>
                <w:sz w:val="20"/>
                <w:szCs w:val="20"/>
              </w:rPr>
              <w:t xml:space="preserve"> along more innovative lines of inquiry and responds to laissez faire approach to the development of the area.</w:t>
            </w:r>
          </w:p>
          <w:p w:rsidR="00655CE0" w:rsidRPr="006A70E4" w:rsidRDefault="006A70E4" w:rsidP="00D86019">
            <w:pPr>
              <w:spacing w:before="200" w:after="120" w:line="288" w:lineRule="auto"/>
              <w:rPr>
                <w:sz w:val="20"/>
                <w:szCs w:val="20"/>
              </w:rPr>
            </w:pPr>
            <w:r>
              <w:rPr>
                <w:noProof/>
                <w:sz w:val="20"/>
                <w:szCs w:val="20"/>
                <w:lang w:bidi="ar-SA"/>
              </w:rPr>
              <w:drawing>
                <wp:anchor distT="0" distB="0" distL="114300" distR="114300" simplePos="0" relativeHeight="251662336" behindDoc="0" locked="0" layoutInCell="1" allowOverlap="1" wp14:anchorId="248F7BDE" wp14:editId="2F8FB656">
                  <wp:simplePos x="0" y="0"/>
                  <wp:positionH relativeFrom="column">
                    <wp:posOffset>4222750</wp:posOffset>
                  </wp:positionH>
                  <wp:positionV relativeFrom="paragraph">
                    <wp:posOffset>-1035050</wp:posOffset>
                  </wp:positionV>
                  <wp:extent cx="1836420" cy="1215390"/>
                  <wp:effectExtent l="19050" t="19050" r="11430" b="228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6420" cy="1215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44FD" w:rsidRPr="00AC1EA1">
              <w:rPr>
                <w:sz w:val="20"/>
                <w:szCs w:val="20"/>
              </w:rPr>
              <w:t xml:space="preserve">The intention is to paint a spatial picture of the municipality and consequently, define the planning, </w:t>
            </w:r>
            <w:r w:rsidR="00655CE0">
              <w:rPr>
                <w:sz w:val="20"/>
                <w:szCs w:val="20"/>
              </w:rPr>
              <w:t xml:space="preserve">socio-economic, human settlement, </w:t>
            </w:r>
            <w:r w:rsidR="000B44FD" w:rsidRPr="00AC1EA1">
              <w:rPr>
                <w:sz w:val="20"/>
                <w:szCs w:val="20"/>
              </w:rPr>
              <w:t xml:space="preserve">environmental and land development terrain within which the </w:t>
            </w:r>
            <w:r w:rsidR="004D7AA7">
              <w:rPr>
                <w:sz w:val="20"/>
                <w:szCs w:val="20"/>
              </w:rPr>
              <w:t>initiative</w:t>
            </w:r>
            <w:r w:rsidR="000B44FD" w:rsidRPr="00AC1EA1">
              <w:rPr>
                <w:sz w:val="20"/>
                <w:szCs w:val="20"/>
              </w:rPr>
              <w:t xml:space="preserve"> unfolds and in particular, the emergence of a polycentric city. The Strategy and Plan opens new windows through which to re-engage time space relationships and city making in a more appropriate symmetry.</w:t>
            </w:r>
            <w:r>
              <w:rPr>
                <w:sz w:val="20"/>
                <w:szCs w:val="20"/>
              </w:rPr>
              <w:t xml:space="preserve"> </w:t>
            </w:r>
            <w:r w:rsidR="00655CE0">
              <w:rPr>
                <w:rFonts w:cs="Arial"/>
                <w:sz w:val="20"/>
                <w:szCs w:val="20"/>
              </w:rPr>
              <w:t xml:space="preserve">Finally, </w:t>
            </w:r>
            <w:r w:rsidR="00655CE0" w:rsidRPr="00655CE0">
              <w:rPr>
                <w:rFonts w:cs="Arial"/>
                <w:sz w:val="20"/>
                <w:szCs w:val="20"/>
              </w:rPr>
              <w:t>GEVDI provides a perspective that is linked to a continuous process of spatial transformation [restructuring of the city landscape] wherein substantial room for creativity is allowed both in development, planning and decision making. In this context, it supports a renewed focus on decisive interventions to ensure accelerated and shared economic growth, poverty alleviation, improved service delivery and eradicating historical inequalities such as spatial distortions, inefficient and unproductive city form and so on; and finally fitting the municipal’s actions into a coherent spatial term of reference.</w:t>
            </w:r>
          </w:p>
        </w:tc>
      </w:tr>
    </w:tbl>
    <w:p w:rsidR="00F52868" w:rsidRDefault="00F52868" w:rsidP="0012503E">
      <w:pPr>
        <w:spacing w:after="0"/>
        <w:jc w:val="both"/>
        <w:rPr>
          <w:rFonts w:ascii="Arial" w:hAnsi="Arial" w:cs="Arial"/>
          <w:sz w:val="16"/>
          <w:szCs w:val="16"/>
        </w:rPr>
      </w:pPr>
    </w:p>
    <w:p w:rsidR="000B3B5D" w:rsidRPr="00D86019" w:rsidRDefault="000B3B5D" w:rsidP="000B3B5D">
      <w:pPr>
        <w:spacing w:after="40" w:line="240" w:lineRule="auto"/>
        <w:ind w:left="142" w:hanging="142"/>
        <w:jc w:val="both"/>
        <w:rPr>
          <w:rFonts w:ascii="Candara" w:hAnsi="Candara" w:cs="Arial"/>
          <w:b/>
          <w:sz w:val="32"/>
          <w:szCs w:val="20"/>
        </w:rPr>
      </w:pPr>
    </w:p>
    <w:p w:rsidR="0012503E" w:rsidRPr="000B3B5D" w:rsidRDefault="00D86019" w:rsidP="000B3B5D">
      <w:pPr>
        <w:spacing w:after="40" w:line="240" w:lineRule="auto"/>
        <w:ind w:left="142" w:hanging="142"/>
        <w:jc w:val="both"/>
        <w:rPr>
          <w:rFonts w:ascii="Candara" w:hAnsi="Candara" w:cs="Arial"/>
          <w:b/>
          <w:sz w:val="18"/>
          <w:szCs w:val="20"/>
        </w:rPr>
      </w:pPr>
      <w:r>
        <w:rPr>
          <w:rFonts w:ascii="Candara" w:hAnsi="Candara" w:cs="Arial"/>
          <w:b/>
          <w:noProof/>
          <w:sz w:val="18"/>
          <w:szCs w:val="20"/>
          <w:lang w:bidi="ar-SA"/>
        </w:rPr>
        <mc:AlternateContent>
          <mc:Choice Requires="wps">
            <w:drawing>
              <wp:anchor distT="0" distB="0" distL="114300" distR="114300" simplePos="0" relativeHeight="251670528" behindDoc="0" locked="0" layoutInCell="1" allowOverlap="1">
                <wp:simplePos x="0" y="0"/>
                <wp:positionH relativeFrom="column">
                  <wp:posOffset>3647</wp:posOffset>
                </wp:positionH>
                <wp:positionV relativeFrom="paragraph">
                  <wp:posOffset>-1270</wp:posOffset>
                </wp:positionV>
                <wp:extent cx="1412340" cy="0"/>
                <wp:effectExtent l="0" t="0" r="16510" b="19050"/>
                <wp:wrapNone/>
                <wp:docPr id="11" name="Straight Connector 11"/>
                <wp:cNvGraphicFramePr/>
                <a:graphic xmlns:a="http://schemas.openxmlformats.org/drawingml/2006/main">
                  <a:graphicData uri="http://schemas.microsoft.com/office/word/2010/wordprocessingShape">
                    <wps:wsp>
                      <wps:cNvCnPr/>
                      <wps:spPr>
                        <a:xfrm>
                          <a:off x="0" y="0"/>
                          <a:ext cx="1412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pt" to="1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" strokecolor="black [3213]"/>
            </w:pict>
          </mc:Fallback>
        </mc:AlternateContent>
      </w:r>
      <w:r w:rsidR="0012503E" w:rsidRPr="000B3B5D">
        <w:rPr>
          <w:rFonts w:ascii="Candara" w:hAnsi="Candara" w:cs="Arial"/>
          <w:b/>
          <w:sz w:val="18"/>
          <w:szCs w:val="20"/>
        </w:rPr>
        <w:t>General Manager</w:t>
      </w:r>
    </w:p>
    <w:p w:rsidR="000B3B5D" w:rsidRPr="000B3B5D" w:rsidRDefault="000B3B5D" w:rsidP="000B3B5D">
      <w:pPr>
        <w:spacing w:after="0" w:line="240" w:lineRule="auto"/>
        <w:ind w:left="142" w:hanging="142"/>
        <w:jc w:val="both"/>
        <w:rPr>
          <w:rFonts w:ascii="Candara" w:hAnsi="Candara" w:cs="Arial"/>
          <w:b/>
          <w:sz w:val="18"/>
        </w:rPr>
      </w:pPr>
      <w:r w:rsidRPr="000B3B5D">
        <w:rPr>
          <w:rFonts w:ascii="Candara" w:hAnsi="Candara" w:cs="Arial"/>
          <w:b/>
          <w:sz w:val="18"/>
        </w:rPr>
        <w:t xml:space="preserve">Sustainable Development &amp; City Enterprises </w:t>
      </w:r>
    </w:p>
    <w:p w:rsidR="0012503E" w:rsidRPr="000B3B5D" w:rsidRDefault="0012503E" w:rsidP="000B3B5D">
      <w:pPr>
        <w:spacing w:after="0" w:line="240" w:lineRule="auto"/>
        <w:ind w:left="142" w:hanging="142"/>
        <w:jc w:val="both"/>
        <w:rPr>
          <w:rFonts w:asciiTheme="minorHAnsi" w:hAnsiTheme="minorHAnsi" w:cs="Arial"/>
          <w:b/>
          <w:sz w:val="20"/>
          <w:szCs w:val="24"/>
        </w:rPr>
      </w:pPr>
      <w:r w:rsidRPr="000B3B5D">
        <w:rPr>
          <w:rFonts w:asciiTheme="minorHAnsi" w:hAnsiTheme="minorHAnsi" w:cs="Arial"/>
          <w:b/>
          <w:sz w:val="20"/>
          <w:szCs w:val="24"/>
        </w:rPr>
        <w:t>Msunduzi Municipali</w:t>
      </w:r>
      <w:r w:rsidR="00F76278" w:rsidRPr="000B3B5D">
        <w:rPr>
          <w:rFonts w:asciiTheme="minorHAnsi" w:hAnsiTheme="minorHAnsi" w:cs="Arial"/>
          <w:b/>
          <w:sz w:val="20"/>
          <w:szCs w:val="24"/>
        </w:rPr>
        <w:t>ty</w:t>
      </w:r>
    </w:p>
    <w:sectPr w:rsidR="0012503E" w:rsidRPr="000B3B5D" w:rsidSect="00F76278">
      <w:footerReference w:type="default" r:id="rId19"/>
      <w:pgSz w:w="11907" w:h="16840" w:code="9"/>
      <w:pgMar w:top="990" w:right="1134" w:bottom="1021" w:left="1134" w:header="14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68" w:rsidRDefault="00910668" w:rsidP="00703A98">
      <w:pPr>
        <w:spacing w:after="0" w:line="240" w:lineRule="auto"/>
      </w:pPr>
      <w:r>
        <w:separator/>
      </w:r>
    </w:p>
  </w:endnote>
  <w:endnote w:type="continuationSeparator" w:id="0">
    <w:p w:rsidR="00910668" w:rsidRDefault="00910668" w:rsidP="0070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88"/>
      <w:docPartObj>
        <w:docPartGallery w:val="Page Numbers (Bottom of Page)"/>
        <w:docPartUnique/>
      </w:docPartObj>
    </w:sdtPr>
    <w:sdtEndPr>
      <w:rPr>
        <w:sz w:val="18"/>
        <w:szCs w:val="18"/>
      </w:rPr>
    </w:sdtEndPr>
    <w:sdtContent>
      <w:p w:rsidR="00223DB5" w:rsidRPr="00F52868" w:rsidRDefault="00603767">
        <w:pPr>
          <w:pStyle w:val="Footer"/>
          <w:jc w:val="right"/>
          <w:rPr>
            <w:sz w:val="18"/>
            <w:szCs w:val="18"/>
          </w:rPr>
        </w:pPr>
        <w:r w:rsidRPr="00F52868">
          <w:rPr>
            <w:sz w:val="18"/>
            <w:szCs w:val="18"/>
          </w:rPr>
          <w:fldChar w:fldCharType="begin"/>
        </w:r>
        <w:r w:rsidR="00223DB5" w:rsidRPr="00F52868">
          <w:rPr>
            <w:sz w:val="18"/>
            <w:szCs w:val="18"/>
          </w:rPr>
          <w:instrText xml:space="preserve"> PAGE   \* MERGEFORMAT </w:instrText>
        </w:r>
        <w:r w:rsidRPr="00F52868">
          <w:rPr>
            <w:sz w:val="18"/>
            <w:szCs w:val="18"/>
          </w:rPr>
          <w:fldChar w:fldCharType="separate"/>
        </w:r>
        <w:r w:rsidR="00C8638A">
          <w:rPr>
            <w:noProof/>
            <w:sz w:val="18"/>
            <w:szCs w:val="18"/>
          </w:rPr>
          <w:t>1</w:t>
        </w:r>
        <w:r w:rsidRPr="00F52868">
          <w:rPr>
            <w:sz w:val="18"/>
            <w:szCs w:val="18"/>
          </w:rPr>
          <w:fldChar w:fldCharType="end"/>
        </w:r>
      </w:p>
    </w:sdtContent>
  </w:sdt>
  <w:p w:rsidR="00223DB5" w:rsidRDefault="00223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68" w:rsidRDefault="00910668" w:rsidP="00703A98">
      <w:pPr>
        <w:spacing w:after="0" w:line="240" w:lineRule="auto"/>
      </w:pPr>
      <w:r>
        <w:separator/>
      </w:r>
    </w:p>
  </w:footnote>
  <w:footnote w:type="continuationSeparator" w:id="0">
    <w:p w:rsidR="00910668" w:rsidRDefault="00910668" w:rsidP="00703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256B"/>
    <w:multiLevelType w:val="hybridMultilevel"/>
    <w:tmpl w:val="F606EA2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71127F1E"/>
    <w:multiLevelType w:val="hybridMultilevel"/>
    <w:tmpl w:val="F6AEF9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17"/>
    <w:rsid w:val="000245DF"/>
    <w:rsid w:val="00051A47"/>
    <w:rsid w:val="000B3B5D"/>
    <w:rsid w:val="000B44FD"/>
    <w:rsid w:val="000B7078"/>
    <w:rsid w:val="000D2A55"/>
    <w:rsid w:val="000E29D0"/>
    <w:rsid w:val="00112575"/>
    <w:rsid w:val="0012503E"/>
    <w:rsid w:val="001324D8"/>
    <w:rsid w:val="00187E2A"/>
    <w:rsid w:val="00197E42"/>
    <w:rsid w:val="001F34E6"/>
    <w:rsid w:val="00223DB5"/>
    <w:rsid w:val="00253708"/>
    <w:rsid w:val="00274A17"/>
    <w:rsid w:val="0029673E"/>
    <w:rsid w:val="002A75F1"/>
    <w:rsid w:val="002A7742"/>
    <w:rsid w:val="002D76DF"/>
    <w:rsid w:val="002E7D43"/>
    <w:rsid w:val="002F3171"/>
    <w:rsid w:val="003409BF"/>
    <w:rsid w:val="0034176B"/>
    <w:rsid w:val="003659DC"/>
    <w:rsid w:val="003E3543"/>
    <w:rsid w:val="003F13B9"/>
    <w:rsid w:val="0047634D"/>
    <w:rsid w:val="00481B80"/>
    <w:rsid w:val="0048737D"/>
    <w:rsid w:val="004A383B"/>
    <w:rsid w:val="004B0753"/>
    <w:rsid w:val="004D7AA7"/>
    <w:rsid w:val="004E34AA"/>
    <w:rsid w:val="004F757A"/>
    <w:rsid w:val="00506369"/>
    <w:rsid w:val="005109E8"/>
    <w:rsid w:val="005110A0"/>
    <w:rsid w:val="0055686C"/>
    <w:rsid w:val="005738E9"/>
    <w:rsid w:val="005850C3"/>
    <w:rsid w:val="005A1920"/>
    <w:rsid w:val="00603767"/>
    <w:rsid w:val="00607745"/>
    <w:rsid w:val="006460F5"/>
    <w:rsid w:val="00655CE0"/>
    <w:rsid w:val="006652F4"/>
    <w:rsid w:val="006A70E4"/>
    <w:rsid w:val="006E1FF5"/>
    <w:rsid w:val="00703A98"/>
    <w:rsid w:val="00714435"/>
    <w:rsid w:val="007311D4"/>
    <w:rsid w:val="007430A9"/>
    <w:rsid w:val="0076222D"/>
    <w:rsid w:val="00763FFA"/>
    <w:rsid w:val="007727A7"/>
    <w:rsid w:val="00796D71"/>
    <w:rsid w:val="007A2FE3"/>
    <w:rsid w:val="007B6E38"/>
    <w:rsid w:val="007E329D"/>
    <w:rsid w:val="00815B3A"/>
    <w:rsid w:val="0083365C"/>
    <w:rsid w:val="008476A1"/>
    <w:rsid w:val="008506FD"/>
    <w:rsid w:val="00851AB1"/>
    <w:rsid w:val="008A68F8"/>
    <w:rsid w:val="008E1EAC"/>
    <w:rsid w:val="009078BE"/>
    <w:rsid w:val="00910668"/>
    <w:rsid w:val="00914D6C"/>
    <w:rsid w:val="00957D2F"/>
    <w:rsid w:val="00964D8B"/>
    <w:rsid w:val="009847FD"/>
    <w:rsid w:val="00A0767A"/>
    <w:rsid w:val="00A07C5C"/>
    <w:rsid w:val="00A2392D"/>
    <w:rsid w:val="00A239F8"/>
    <w:rsid w:val="00A23C7C"/>
    <w:rsid w:val="00A728AB"/>
    <w:rsid w:val="00B23E95"/>
    <w:rsid w:val="00B60D0C"/>
    <w:rsid w:val="00BA2C67"/>
    <w:rsid w:val="00BD23E8"/>
    <w:rsid w:val="00BD31F7"/>
    <w:rsid w:val="00BD4EBF"/>
    <w:rsid w:val="00BF37F6"/>
    <w:rsid w:val="00C0354B"/>
    <w:rsid w:val="00C36F37"/>
    <w:rsid w:val="00C47CDD"/>
    <w:rsid w:val="00C5473E"/>
    <w:rsid w:val="00C8638A"/>
    <w:rsid w:val="00C8735C"/>
    <w:rsid w:val="00CA219D"/>
    <w:rsid w:val="00CB47D0"/>
    <w:rsid w:val="00D452F0"/>
    <w:rsid w:val="00D55EE3"/>
    <w:rsid w:val="00D74C08"/>
    <w:rsid w:val="00D86019"/>
    <w:rsid w:val="00DF0576"/>
    <w:rsid w:val="00DF134A"/>
    <w:rsid w:val="00E438A9"/>
    <w:rsid w:val="00E51223"/>
    <w:rsid w:val="00E672D6"/>
    <w:rsid w:val="00E76E18"/>
    <w:rsid w:val="00E91192"/>
    <w:rsid w:val="00EA0ABF"/>
    <w:rsid w:val="00EC2108"/>
    <w:rsid w:val="00EC7EBF"/>
    <w:rsid w:val="00ED264E"/>
    <w:rsid w:val="00ED2E55"/>
    <w:rsid w:val="00F15387"/>
    <w:rsid w:val="00F52868"/>
    <w:rsid w:val="00F661A1"/>
    <w:rsid w:val="00F72967"/>
    <w:rsid w:val="00F76278"/>
    <w:rsid w:val="00F86865"/>
    <w:rsid w:val="00F878C2"/>
    <w:rsid w:val="00F96C0B"/>
    <w:rsid w:val="00FB3238"/>
    <w:rsid w:val="00FE2D66"/>
    <w:rsid w:val="00FE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B5"/>
  </w:style>
  <w:style w:type="paragraph" w:styleId="Heading1">
    <w:name w:val="heading 1"/>
    <w:basedOn w:val="Normal"/>
    <w:next w:val="Normal"/>
    <w:link w:val="Heading1Char"/>
    <w:uiPriority w:val="9"/>
    <w:qFormat/>
    <w:rsid w:val="00223DB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23DB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23DB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23DB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23DB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23DB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23DB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23DB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23DB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47"/>
    <w:pPr>
      <w:spacing w:line="240" w:lineRule="auto"/>
    </w:pPr>
    <w:rPr>
      <w:rFonts w:asciiTheme="minorHAnsi" w:hAnsiTheme="minorHAnsi"/>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98"/>
    <w:rPr>
      <w:rFonts w:asciiTheme="minorHAnsi" w:hAnsiTheme="minorHAnsi"/>
      <w:sz w:val="22"/>
      <w:lang w:val="en-GB"/>
    </w:rPr>
  </w:style>
  <w:style w:type="paragraph" w:styleId="Footer">
    <w:name w:val="footer"/>
    <w:basedOn w:val="Normal"/>
    <w:link w:val="FooterChar"/>
    <w:uiPriority w:val="99"/>
    <w:unhideWhenUsed/>
    <w:rsid w:val="0070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98"/>
    <w:rPr>
      <w:rFonts w:asciiTheme="minorHAnsi" w:hAnsiTheme="minorHAnsi"/>
      <w:sz w:val="22"/>
      <w:lang w:val="en-GB"/>
    </w:rPr>
  </w:style>
  <w:style w:type="paragraph" w:styleId="ListParagraph">
    <w:name w:val="List Paragraph"/>
    <w:basedOn w:val="Normal"/>
    <w:uiPriority w:val="34"/>
    <w:qFormat/>
    <w:rsid w:val="00223DB5"/>
    <w:pPr>
      <w:ind w:left="720"/>
      <w:contextualSpacing/>
    </w:pPr>
  </w:style>
  <w:style w:type="character" w:customStyle="1" w:styleId="Heading1Char">
    <w:name w:val="Heading 1 Char"/>
    <w:basedOn w:val="DefaultParagraphFont"/>
    <w:link w:val="Heading1"/>
    <w:uiPriority w:val="9"/>
    <w:rsid w:val="00223DB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23DB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23DB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223DB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223DB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23DB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23DB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23DB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23DB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23DB5"/>
    <w:rPr>
      <w:caps/>
      <w:spacing w:val="10"/>
      <w:sz w:val="18"/>
      <w:szCs w:val="18"/>
    </w:rPr>
  </w:style>
  <w:style w:type="paragraph" w:styleId="Title">
    <w:name w:val="Title"/>
    <w:basedOn w:val="Normal"/>
    <w:next w:val="Normal"/>
    <w:link w:val="TitleChar"/>
    <w:uiPriority w:val="10"/>
    <w:qFormat/>
    <w:rsid w:val="00223DB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23DB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23DB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23DB5"/>
    <w:rPr>
      <w:rFonts w:eastAsiaTheme="majorEastAsia" w:cstheme="majorBidi"/>
      <w:caps/>
      <w:spacing w:val="20"/>
      <w:sz w:val="18"/>
      <w:szCs w:val="18"/>
    </w:rPr>
  </w:style>
  <w:style w:type="character" w:styleId="Strong">
    <w:name w:val="Strong"/>
    <w:uiPriority w:val="22"/>
    <w:qFormat/>
    <w:rsid w:val="00223DB5"/>
    <w:rPr>
      <w:b/>
      <w:bCs/>
      <w:color w:val="943634" w:themeColor="accent2" w:themeShade="BF"/>
      <w:spacing w:val="5"/>
    </w:rPr>
  </w:style>
  <w:style w:type="character" w:styleId="Emphasis">
    <w:name w:val="Emphasis"/>
    <w:uiPriority w:val="20"/>
    <w:qFormat/>
    <w:rsid w:val="00223DB5"/>
    <w:rPr>
      <w:caps/>
      <w:spacing w:val="5"/>
      <w:sz w:val="20"/>
      <w:szCs w:val="20"/>
    </w:rPr>
  </w:style>
  <w:style w:type="paragraph" w:styleId="NoSpacing">
    <w:name w:val="No Spacing"/>
    <w:basedOn w:val="Normal"/>
    <w:link w:val="NoSpacingChar"/>
    <w:uiPriority w:val="1"/>
    <w:qFormat/>
    <w:rsid w:val="00223DB5"/>
    <w:pPr>
      <w:spacing w:after="0" w:line="240" w:lineRule="auto"/>
    </w:pPr>
  </w:style>
  <w:style w:type="character" w:customStyle="1" w:styleId="NoSpacingChar">
    <w:name w:val="No Spacing Char"/>
    <w:basedOn w:val="DefaultParagraphFont"/>
    <w:link w:val="NoSpacing"/>
    <w:uiPriority w:val="1"/>
    <w:rsid w:val="00223DB5"/>
  </w:style>
  <w:style w:type="paragraph" w:styleId="Quote">
    <w:name w:val="Quote"/>
    <w:basedOn w:val="Normal"/>
    <w:next w:val="Normal"/>
    <w:link w:val="QuoteChar"/>
    <w:uiPriority w:val="29"/>
    <w:qFormat/>
    <w:rsid w:val="00223DB5"/>
    <w:rPr>
      <w:i/>
      <w:iCs/>
    </w:rPr>
  </w:style>
  <w:style w:type="character" w:customStyle="1" w:styleId="QuoteChar">
    <w:name w:val="Quote Char"/>
    <w:basedOn w:val="DefaultParagraphFont"/>
    <w:link w:val="Quote"/>
    <w:uiPriority w:val="29"/>
    <w:rsid w:val="00223DB5"/>
    <w:rPr>
      <w:rFonts w:eastAsiaTheme="majorEastAsia" w:cstheme="majorBidi"/>
      <w:i/>
      <w:iCs/>
    </w:rPr>
  </w:style>
  <w:style w:type="paragraph" w:styleId="IntenseQuote">
    <w:name w:val="Intense Quote"/>
    <w:basedOn w:val="Normal"/>
    <w:next w:val="Normal"/>
    <w:link w:val="IntenseQuoteChar"/>
    <w:uiPriority w:val="30"/>
    <w:qFormat/>
    <w:rsid w:val="00223DB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23DB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23DB5"/>
    <w:rPr>
      <w:i/>
      <w:iCs/>
    </w:rPr>
  </w:style>
  <w:style w:type="character" w:styleId="IntenseEmphasis">
    <w:name w:val="Intense Emphasis"/>
    <w:uiPriority w:val="21"/>
    <w:qFormat/>
    <w:rsid w:val="00223DB5"/>
    <w:rPr>
      <w:i/>
      <w:iCs/>
      <w:caps/>
      <w:spacing w:val="10"/>
      <w:sz w:val="20"/>
      <w:szCs w:val="20"/>
    </w:rPr>
  </w:style>
  <w:style w:type="character" w:styleId="SubtleReference">
    <w:name w:val="Subtle Reference"/>
    <w:basedOn w:val="DefaultParagraphFont"/>
    <w:uiPriority w:val="31"/>
    <w:qFormat/>
    <w:rsid w:val="00223DB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23DB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23DB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23DB5"/>
    <w:pPr>
      <w:outlineLvl w:val="9"/>
    </w:pPr>
  </w:style>
  <w:style w:type="paragraph" w:styleId="BalloonText">
    <w:name w:val="Balloon Text"/>
    <w:basedOn w:val="Normal"/>
    <w:link w:val="BalloonTextChar"/>
    <w:uiPriority w:val="99"/>
    <w:semiHidden/>
    <w:unhideWhenUsed/>
    <w:rsid w:val="00125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B5"/>
  </w:style>
  <w:style w:type="paragraph" w:styleId="Heading1">
    <w:name w:val="heading 1"/>
    <w:basedOn w:val="Normal"/>
    <w:next w:val="Normal"/>
    <w:link w:val="Heading1Char"/>
    <w:uiPriority w:val="9"/>
    <w:qFormat/>
    <w:rsid w:val="00223DB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23DB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23DB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23DB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23DB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23DB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23DB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23DB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23DB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47"/>
    <w:pPr>
      <w:spacing w:line="240" w:lineRule="auto"/>
    </w:pPr>
    <w:rPr>
      <w:rFonts w:asciiTheme="minorHAnsi" w:hAnsiTheme="minorHAnsi"/>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98"/>
    <w:rPr>
      <w:rFonts w:asciiTheme="minorHAnsi" w:hAnsiTheme="minorHAnsi"/>
      <w:sz w:val="22"/>
      <w:lang w:val="en-GB"/>
    </w:rPr>
  </w:style>
  <w:style w:type="paragraph" w:styleId="Footer">
    <w:name w:val="footer"/>
    <w:basedOn w:val="Normal"/>
    <w:link w:val="FooterChar"/>
    <w:uiPriority w:val="99"/>
    <w:unhideWhenUsed/>
    <w:rsid w:val="0070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98"/>
    <w:rPr>
      <w:rFonts w:asciiTheme="minorHAnsi" w:hAnsiTheme="minorHAnsi"/>
      <w:sz w:val="22"/>
      <w:lang w:val="en-GB"/>
    </w:rPr>
  </w:style>
  <w:style w:type="paragraph" w:styleId="ListParagraph">
    <w:name w:val="List Paragraph"/>
    <w:basedOn w:val="Normal"/>
    <w:uiPriority w:val="34"/>
    <w:qFormat/>
    <w:rsid w:val="00223DB5"/>
    <w:pPr>
      <w:ind w:left="720"/>
      <w:contextualSpacing/>
    </w:pPr>
  </w:style>
  <w:style w:type="character" w:customStyle="1" w:styleId="Heading1Char">
    <w:name w:val="Heading 1 Char"/>
    <w:basedOn w:val="DefaultParagraphFont"/>
    <w:link w:val="Heading1"/>
    <w:uiPriority w:val="9"/>
    <w:rsid w:val="00223DB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23DB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23DB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223DB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223DB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23DB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23DB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23DB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23DB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23DB5"/>
    <w:rPr>
      <w:caps/>
      <w:spacing w:val="10"/>
      <w:sz w:val="18"/>
      <w:szCs w:val="18"/>
    </w:rPr>
  </w:style>
  <w:style w:type="paragraph" w:styleId="Title">
    <w:name w:val="Title"/>
    <w:basedOn w:val="Normal"/>
    <w:next w:val="Normal"/>
    <w:link w:val="TitleChar"/>
    <w:uiPriority w:val="10"/>
    <w:qFormat/>
    <w:rsid w:val="00223DB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23DB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23DB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23DB5"/>
    <w:rPr>
      <w:rFonts w:eastAsiaTheme="majorEastAsia" w:cstheme="majorBidi"/>
      <w:caps/>
      <w:spacing w:val="20"/>
      <w:sz w:val="18"/>
      <w:szCs w:val="18"/>
    </w:rPr>
  </w:style>
  <w:style w:type="character" w:styleId="Strong">
    <w:name w:val="Strong"/>
    <w:uiPriority w:val="22"/>
    <w:qFormat/>
    <w:rsid w:val="00223DB5"/>
    <w:rPr>
      <w:b/>
      <w:bCs/>
      <w:color w:val="943634" w:themeColor="accent2" w:themeShade="BF"/>
      <w:spacing w:val="5"/>
    </w:rPr>
  </w:style>
  <w:style w:type="character" w:styleId="Emphasis">
    <w:name w:val="Emphasis"/>
    <w:uiPriority w:val="20"/>
    <w:qFormat/>
    <w:rsid w:val="00223DB5"/>
    <w:rPr>
      <w:caps/>
      <w:spacing w:val="5"/>
      <w:sz w:val="20"/>
      <w:szCs w:val="20"/>
    </w:rPr>
  </w:style>
  <w:style w:type="paragraph" w:styleId="NoSpacing">
    <w:name w:val="No Spacing"/>
    <w:basedOn w:val="Normal"/>
    <w:link w:val="NoSpacingChar"/>
    <w:uiPriority w:val="1"/>
    <w:qFormat/>
    <w:rsid w:val="00223DB5"/>
    <w:pPr>
      <w:spacing w:after="0" w:line="240" w:lineRule="auto"/>
    </w:pPr>
  </w:style>
  <w:style w:type="character" w:customStyle="1" w:styleId="NoSpacingChar">
    <w:name w:val="No Spacing Char"/>
    <w:basedOn w:val="DefaultParagraphFont"/>
    <w:link w:val="NoSpacing"/>
    <w:uiPriority w:val="1"/>
    <w:rsid w:val="00223DB5"/>
  </w:style>
  <w:style w:type="paragraph" w:styleId="Quote">
    <w:name w:val="Quote"/>
    <w:basedOn w:val="Normal"/>
    <w:next w:val="Normal"/>
    <w:link w:val="QuoteChar"/>
    <w:uiPriority w:val="29"/>
    <w:qFormat/>
    <w:rsid w:val="00223DB5"/>
    <w:rPr>
      <w:i/>
      <w:iCs/>
    </w:rPr>
  </w:style>
  <w:style w:type="character" w:customStyle="1" w:styleId="QuoteChar">
    <w:name w:val="Quote Char"/>
    <w:basedOn w:val="DefaultParagraphFont"/>
    <w:link w:val="Quote"/>
    <w:uiPriority w:val="29"/>
    <w:rsid w:val="00223DB5"/>
    <w:rPr>
      <w:rFonts w:eastAsiaTheme="majorEastAsia" w:cstheme="majorBidi"/>
      <w:i/>
      <w:iCs/>
    </w:rPr>
  </w:style>
  <w:style w:type="paragraph" w:styleId="IntenseQuote">
    <w:name w:val="Intense Quote"/>
    <w:basedOn w:val="Normal"/>
    <w:next w:val="Normal"/>
    <w:link w:val="IntenseQuoteChar"/>
    <w:uiPriority w:val="30"/>
    <w:qFormat/>
    <w:rsid w:val="00223DB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23DB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23DB5"/>
    <w:rPr>
      <w:i/>
      <w:iCs/>
    </w:rPr>
  </w:style>
  <w:style w:type="character" w:styleId="IntenseEmphasis">
    <w:name w:val="Intense Emphasis"/>
    <w:uiPriority w:val="21"/>
    <w:qFormat/>
    <w:rsid w:val="00223DB5"/>
    <w:rPr>
      <w:i/>
      <w:iCs/>
      <w:caps/>
      <w:spacing w:val="10"/>
      <w:sz w:val="20"/>
      <w:szCs w:val="20"/>
    </w:rPr>
  </w:style>
  <w:style w:type="character" w:styleId="SubtleReference">
    <w:name w:val="Subtle Reference"/>
    <w:basedOn w:val="DefaultParagraphFont"/>
    <w:uiPriority w:val="31"/>
    <w:qFormat/>
    <w:rsid w:val="00223DB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23DB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23DB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23DB5"/>
    <w:pPr>
      <w:outlineLvl w:val="9"/>
    </w:pPr>
  </w:style>
  <w:style w:type="paragraph" w:styleId="BalloonText">
    <w:name w:val="Balloon Text"/>
    <w:basedOn w:val="Normal"/>
    <w:link w:val="BalloonTextChar"/>
    <w:uiPriority w:val="99"/>
    <w:semiHidden/>
    <w:unhideWhenUsed/>
    <w:rsid w:val="00125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narains</dc:creator>
  <cp:lastModifiedBy>Nombuso Hlophe</cp:lastModifiedBy>
  <cp:revision>2</cp:revision>
  <dcterms:created xsi:type="dcterms:W3CDTF">2016-08-30T13:15:00Z</dcterms:created>
  <dcterms:modified xsi:type="dcterms:W3CDTF">2016-08-30T13:15:00Z</dcterms:modified>
</cp:coreProperties>
</file>